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64F6F" w14:textId="77777777" w:rsidR="008D1993" w:rsidRDefault="008D1993" w:rsidP="008D1993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53B22B0B" w14:textId="77777777" w:rsidR="008D1993" w:rsidRDefault="008D1993" w:rsidP="008D1993">
      <w:pPr>
        <w:pStyle w:val="a5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752A170A" w14:textId="77777777" w:rsidR="008D1993" w:rsidRPr="00C947A9" w:rsidRDefault="008D1993" w:rsidP="008D1993">
      <w:pPr>
        <w:pStyle w:val="a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6AC2D6DD" w14:textId="7D0EECF0" w:rsidR="008D1993" w:rsidRDefault="008D1993" w:rsidP="008D1993">
      <w:pPr>
        <w:pStyle w:val="a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 w:rsidR="00314A2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4FB9BC6B" w14:textId="77777777" w:rsidR="008D1993" w:rsidRDefault="008D1993" w:rsidP="008D199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37E306F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3B14EAD1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2C811B42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</w:p>
    <w:p w14:paraId="6FFF89D1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395704C5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5A5EDE7E" w14:textId="77777777" w:rsidR="008D1993" w:rsidRDefault="008D1993" w:rsidP="008D199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24C294E1" w14:textId="77777777" w:rsidR="008D1993" w:rsidRDefault="008D1993" w:rsidP="002D6F5E">
      <w:pPr>
        <w:shd w:val="clear" w:color="auto" w:fill="FFFFFF"/>
        <w:spacing w:before="360" w:after="0" w:line="240" w:lineRule="auto"/>
        <w:rPr>
          <w:rFonts w:ascii="PT Serif" w:eastAsia="Times New Roman" w:hAnsi="PT Serif" w:cs="Times New Roman"/>
          <w:kern w:val="0"/>
          <w:lang w:eastAsia="ru-RU"/>
          <w14:ligatures w14:val="none"/>
        </w:rPr>
      </w:pPr>
    </w:p>
    <w:p w14:paraId="016BE421" w14:textId="77777777" w:rsidR="002D6F5E" w:rsidRPr="002D6F5E" w:rsidRDefault="002D6F5E" w:rsidP="002D6F5E">
      <w:pPr>
        <w:shd w:val="clear" w:color="auto" w:fill="FFFFFF"/>
        <w:spacing w:before="360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bookmarkStart w:id="0" w:name="_GoBack"/>
      <w:bookmarkEnd w:id="0"/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1. The power to order that a merger shall not go ahead lies with...</w:t>
      </w:r>
    </w:p>
    <w:p w14:paraId="6CD6A105" w14:textId="77777777" w:rsidR="002D6F5E" w:rsidRPr="002D6F5E" w:rsidRDefault="002D6F5E" w:rsidP="002D6F5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The term "goods" includes all "chattels personal" that are ...</w:t>
      </w:r>
    </w:p>
    <w:p w14:paraId="7CDBE4EA" w14:textId="77777777" w:rsidR="002D6F5E" w:rsidRPr="002D6F5E" w:rsidRDefault="002D6F5E" w:rsidP="002D6F5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A shareholder of a public company can sell his shares freely...</w:t>
      </w:r>
    </w:p>
    <w:p w14:paraId="17A121A3" w14:textId="77777777" w:rsidR="002D6F5E" w:rsidRPr="002D6F5E" w:rsidRDefault="002D6F5E" w:rsidP="002D6F5E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eastAsia="ru-RU"/>
          <w14:ligatures w14:val="none"/>
        </w:rPr>
      </w:pP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The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 xml:space="preserve"> </w:t>
      </w: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mortgagor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 xml:space="preserve"> </w:t>
      </w: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may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 xml:space="preserve"> </w:t>
      </w: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create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 xml:space="preserve"> ...</w:t>
      </w:r>
    </w:p>
    <w:p w14:paraId="1C973D3A" w14:textId="77777777" w:rsidR="002D6F5E" w:rsidRPr="002D6F5E" w:rsidRDefault="002D6F5E" w:rsidP="002D6F5E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Employees are entitled to notice which could be a month ...</w:t>
      </w:r>
    </w:p>
    <w:p w14:paraId="3BCC2DF0" w14:textId="77777777" w:rsidR="002D6F5E" w:rsidRPr="002D6F5E" w:rsidRDefault="002D6F5E" w:rsidP="002D6F5E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When the land is owned by a company</w:t>
      </w:r>
      <w:proofErr w:type="gramStart"/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,...</w:t>
      </w:r>
      <w:proofErr w:type="gramEnd"/>
    </w:p>
    <w:p w14:paraId="7E2FE206" w14:textId="77777777" w:rsidR="002D6F5E" w:rsidRPr="002D6F5E" w:rsidRDefault="002D6F5E" w:rsidP="002D6F5E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Contracts for the sale of goods include …</w:t>
      </w:r>
    </w:p>
    <w:p w14:paraId="07D322FA" w14:textId="77777777" w:rsidR="002D6F5E" w:rsidRPr="002D6F5E" w:rsidRDefault="002D6F5E" w:rsidP="002D6F5E">
      <w:pPr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Private limited companies cannot raise money…</w:t>
      </w:r>
    </w:p>
    <w:p w14:paraId="51FFC2AF" w14:textId="1A2B6829" w:rsidR="002D6F5E" w:rsidRPr="002D6F5E" w:rsidRDefault="002D6F5E" w:rsidP="002D6F5E">
      <w:pPr>
        <w:pStyle w:val="a3"/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The secretary of a private company…</w:t>
      </w:r>
    </w:p>
    <w:p w14:paraId="3A182B6D" w14:textId="77777777" w:rsidR="002D6F5E" w:rsidRPr="002D6F5E" w:rsidRDefault="002D6F5E" w:rsidP="002D6F5E">
      <w:pPr>
        <w:numPr>
          <w:ilvl w:val="0"/>
          <w:numId w:val="28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The bankruptcy petition can be presented by…</w:t>
      </w:r>
    </w:p>
    <w:p w14:paraId="53229397" w14:textId="77777777" w:rsidR="002D6F5E" w:rsidRPr="002D6F5E" w:rsidRDefault="002D6F5E" w:rsidP="002D6F5E">
      <w:pPr>
        <w:numPr>
          <w:ilvl w:val="0"/>
          <w:numId w:val="29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To take part in the management of a registered company, a bankrupt must get…</w:t>
      </w:r>
    </w:p>
    <w:p w14:paraId="38B2EEB8" w14:textId="77777777" w:rsidR="002D6F5E" w:rsidRPr="002D6F5E" w:rsidRDefault="002D6F5E" w:rsidP="002D6F5E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If the principal refuses to ratify the transaction...</w:t>
      </w:r>
    </w:p>
    <w:p w14:paraId="28A9A9E7" w14:textId="77777777" w:rsidR="002D6F5E" w:rsidRPr="002D6F5E" w:rsidRDefault="002D6F5E" w:rsidP="002D6F5E">
      <w:pPr>
        <w:numPr>
          <w:ilvl w:val="0"/>
          <w:numId w:val="31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Choses capable of negotiation are classified as negotiable instruments and include ...</w:t>
      </w:r>
    </w:p>
    <w:p w14:paraId="4C3819B8" w14:textId="77777777" w:rsidR="002D6F5E" w:rsidRPr="002D6F5E" w:rsidRDefault="002D6F5E" w:rsidP="002D6F5E">
      <w:pPr>
        <w:numPr>
          <w:ilvl w:val="0"/>
          <w:numId w:val="32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If a minority shareholder does not agree with the majority...</w:t>
      </w:r>
    </w:p>
    <w:p w14:paraId="6202EC62" w14:textId="77777777" w:rsidR="002D6F5E" w:rsidRPr="002D6F5E" w:rsidRDefault="002D6F5E" w:rsidP="002D6F5E">
      <w:pPr>
        <w:numPr>
          <w:ilvl w:val="0"/>
          <w:numId w:val="33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 xml:space="preserve">Leasehold estate which </w:t>
      </w:r>
      <w:proofErr w:type="spellStart"/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incudes</w:t>
      </w:r>
      <w:proofErr w:type="spellEnd"/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 xml:space="preserve"> the renewable yearly lease is ...</w:t>
      </w:r>
    </w:p>
    <w:p w14:paraId="3D6E7588" w14:textId="77777777" w:rsidR="002D6F5E" w:rsidRPr="002D6F5E" w:rsidRDefault="002D6F5E" w:rsidP="002D6F5E">
      <w:pPr>
        <w:numPr>
          <w:ilvl w:val="0"/>
          <w:numId w:val="34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eastAsia="ru-RU"/>
          <w14:ligatures w14:val="none"/>
        </w:rPr>
      </w:pP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Sole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 xml:space="preserve"> </w:t>
      </w:r>
      <w:proofErr w:type="spellStart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trader</w:t>
      </w:r>
      <w:proofErr w:type="spellEnd"/>
      <w:r w:rsidRPr="002D6F5E">
        <w:rPr>
          <w:rFonts w:ascii="PT Serif" w:eastAsia="Times New Roman" w:hAnsi="PT Serif" w:cs="Times New Roman"/>
          <w:kern w:val="0"/>
          <w:lang w:eastAsia="ru-RU"/>
          <w14:ligatures w14:val="none"/>
        </w:rPr>
        <w:t>...</w:t>
      </w:r>
    </w:p>
    <w:p w14:paraId="758D2B02" w14:textId="77777777" w:rsidR="002D6F5E" w:rsidRPr="002D6F5E" w:rsidRDefault="002D6F5E" w:rsidP="002D6F5E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A person cannot be a partner if...</w:t>
      </w:r>
    </w:p>
    <w:p w14:paraId="7FB5344B" w14:textId="77777777" w:rsidR="002D6F5E" w:rsidRPr="002D6F5E" w:rsidRDefault="002D6F5E" w:rsidP="002D6F5E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A consent of the principal...</w:t>
      </w:r>
    </w:p>
    <w:p w14:paraId="64B269CD" w14:textId="77777777" w:rsidR="002D6F5E" w:rsidRPr="002D6F5E" w:rsidRDefault="002D6F5E" w:rsidP="002D6F5E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PT Serif" w:eastAsia="Times New Roman" w:hAnsi="PT Serif" w:cs="Times New Roman"/>
          <w:kern w:val="0"/>
          <w:lang w:val="en-US" w:eastAsia="ru-RU"/>
          <w14:ligatures w14:val="none"/>
        </w:rPr>
      </w:pPr>
      <w:r w:rsidRPr="002D6F5E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The Monopolies and Mergers Commission consists of...</w:t>
      </w:r>
    </w:p>
    <w:p w14:paraId="1E104207" w14:textId="2C5D0A21" w:rsidR="00596939" w:rsidRPr="00314A25" w:rsidRDefault="002D6F5E" w:rsidP="00314A25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rPr>
          <w:lang w:val="en-US"/>
        </w:rPr>
      </w:pPr>
      <w:r w:rsidRPr="00314A25">
        <w:rPr>
          <w:rFonts w:ascii="PT Serif" w:eastAsia="Times New Roman" w:hAnsi="PT Serif" w:cs="Times New Roman"/>
          <w:kern w:val="0"/>
          <w:lang w:val="en-US" w:eastAsia="ru-RU"/>
          <w14:ligatures w14:val="none"/>
        </w:rPr>
        <w:t>Fiduciary duties of employees are implied into a contract of employment...</w:t>
      </w:r>
    </w:p>
    <w:sectPr w:rsidR="00596939" w:rsidRPr="0031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426"/>
    <w:multiLevelType w:val="multilevel"/>
    <w:tmpl w:val="92D46678"/>
    <w:lvl w:ilvl="0">
      <w:start w:val="9"/>
      <w:numFmt w:val="decimal"/>
      <w:lvlText w:val="%1."/>
      <w:lvlJc w:val="left"/>
      <w:pPr>
        <w:tabs>
          <w:tab w:val="num" w:pos="-2160"/>
        </w:tabs>
        <w:ind w:left="-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-720"/>
        </w:tabs>
        <w:ind w:left="-720" w:hanging="360"/>
      </w:pPr>
    </w:lvl>
    <w:lvl w:ilvl="3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entative="1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</w:lvl>
    <w:lvl w:ilvl="5" w:tentative="1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entative="1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 w:tentative="1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9A052E"/>
    <w:multiLevelType w:val="multilevel"/>
    <w:tmpl w:val="D436DD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A3544A4"/>
    <w:multiLevelType w:val="multilevel"/>
    <w:tmpl w:val="F428473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A7C7034"/>
    <w:multiLevelType w:val="multilevel"/>
    <w:tmpl w:val="6FBC09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806D28"/>
    <w:multiLevelType w:val="multilevel"/>
    <w:tmpl w:val="E402C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C2372"/>
    <w:multiLevelType w:val="multilevel"/>
    <w:tmpl w:val="2788EB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283214"/>
    <w:multiLevelType w:val="multilevel"/>
    <w:tmpl w:val="EB5CCF8A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5C6126E"/>
    <w:multiLevelType w:val="multilevel"/>
    <w:tmpl w:val="759E992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831392A"/>
    <w:multiLevelType w:val="multilevel"/>
    <w:tmpl w:val="980CA3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9D63C0"/>
    <w:multiLevelType w:val="multilevel"/>
    <w:tmpl w:val="16D689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9F913AA"/>
    <w:multiLevelType w:val="multilevel"/>
    <w:tmpl w:val="32E4A7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96271A"/>
    <w:multiLevelType w:val="multilevel"/>
    <w:tmpl w:val="8CBC8B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D45AAB"/>
    <w:multiLevelType w:val="multilevel"/>
    <w:tmpl w:val="146CDF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233732AE"/>
    <w:multiLevelType w:val="multilevel"/>
    <w:tmpl w:val="FFD8A10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2B7317DF"/>
    <w:multiLevelType w:val="multilevel"/>
    <w:tmpl w:val="FB3605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305EEE"/>
    <w:multiLevelType w:val="multilevel"/>
    <w:tmpl w:val="1B584F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0590A32"/>
    <w:multiLevelType w:val="multilevel"/>
    <w:tmpl w:val="BBF40A1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354F5281"/>
    <w:multiLevelType w:val="multilevel"/>
    <w:tmpl w:val="E78C9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2A7F5E"/>
    <w:multiLevelType w:val="multilevel"/>
    <w:tmpl w:val="01685E1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3B5D2886"/>
    <w:multiLevelType w:val="multilevel"/>
    <w:tmpl w:val="BF4A340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6B5508F"/>
    <w:multiLevelType w:val="multilevel"/>
    <w:tmpl w:val="746CB2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9F696E"/>
    <w:multiLevelType w:val="multilevel"/>
    <w:tmpl w:val="DB0271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F18172B"/>
    <w:multiLevelType w:val="multilevel"/>
    <w:tmpl w:val="01A6B86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17D6D83"/>
    <w:multiLevelType w:val="multilevel"/>
    <w:tmpl w:val="ED3CC7C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39A7E7E"/>
    <w:multiLevelType w:val="multilevel"/>
    <w:tmpl w:val="DF14B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54162A26"/>
    <w:multiLevelType w:val="multilevel"/>
    <w:tmpl w:val="6996283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512B38"/>
    <w:multiLevelType w:val="multilevel"/>
    <w:tmpl w:val="71FC6A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FC3BB5"/>
    <w:multiLevelType w:val="multilevel"/>
    <w:tmpl w:val="C26C3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396A76"/>
    <w:multiLevelType w:val="multilevel"/>
    <w:tmpl w:val="0ACED9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8B2C1E"/>
    <w:multiLevelType w:val="multilevel"/>
    <w:tmpl w:val="479A547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6E045C66"/>
    <w:multiLevelType w:val="multilevel"/>
    <w:tmpl w:val="FF7284B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711E4BCB"/>
    <w:multiLevelType w:val="multilevel"/>
    <w:tmpl w:val="FDF6624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654CA1"/>
    <w:multiLevelType w:val="multilevel"/>
    <w:tmpl w:val="0D4A49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BD75BA"/>
    <w:multiLevelType w:val="multilevel"/>
    <w:tmpl w:val="4C501A9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5F2748"/>
    <w:multiLevelType w:val="multilevel"/>
    <w:tmpl w:val="72E2B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B93A24"/>
    <w:multiLevelType w:val="multilevel"/>
    <w:tmpl w:val="4B4AB04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>
    <w:nsid w:val="78FD5E9C"/>
    <w:multiLevelType w:val="multilevel"/>
    <w:tmpl w:val="BE88D8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A5714F"/>
    <w:multiLevelType w:val="multilevel"/>
    <w:tmpl w:val="771E3A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4"/>
  </w:num>
  <w:num w:numId="3">
    <w:abstractNumId w:val="27"/>
  </w:num>
  <w:num w:numId="4">
    <w:abstractNumId w:val="32"/>
  </w:num>
  <w:num w:numId="5">
    <w:abstractNumId w:val="17"/>
  </w:num>
  <w:num w:numId="6">
    <w:abstractNumId w:val="10"/>
  </w:num>
  <w:num w:numId="7">
    <w:abstractNumId w:val="14"/>
  </w:num>
  <w:num w:numId="8">
    <w:abstractNumId w:val="37"/>
  </w:num>
  <w:num w:numId="9">
    <w:abstractNumId w:val="8"/>
  </w:num>
  <w:num w:numId="10">
    <w:abstractNumId w:val="3"/>
  </w:num>
  <w:num w:numId="11">
    <w:abstractNumId w:val="11"/>
  </w:num>
  <w:num w:numId="12">
    <w:abstractNumId w:val="28"/>
  </w:num>
  <w:num w:numId="13">
    <w:abstractNumId w:val="36"/>
  </w:num>
  <w:num w:numId="14">
    <w:abstractNumId w:val="5"/>
  </w:num>
  <w:num w:numId="15">
    <w:abstractNumId w:val="33"/>
  </w:num>
  <w:num w:numId="16">
    <w:abstractNumId w:val="25"/>
  </w:num>
  <w:num w:numId="17">
    <w:abstractNumId w:val="31"/>
  </w:num>
  <w:num w:numId="18">
    <w:abstractNumId w:val="20"/>
  </w:num>
  <w:num w:numId="19">
    <w:abstractNumId w:val="26"/>
  </w:num>
  <w:num w:numId="20">
    <w:abstractNumId w:val="1"/>
  </w:num>
  <w:num w:numId="21">
    <w:abstractNumId w:val="12"/>
  </w:num>
  <w:num w:numId="22">
    <w:abstractNumId w:val="21"/>
  </w:num>
  <w:num w:numId="23">
    <w:abstractNumId w:val="9"/>
  </w:num>
  <w:num w:numId="24">
    <w:abstractNumId w:val="29"/>
  </w:num>
  <w:num w:numId="25">
    <w:abstractNumId w:val="16"/>
  </w:num>
  <w:num w:numId="26">
    <w:abstractNumId w:val="24"/>
  </w:num>
  <w:num w:numId="27">
    <w:abstractNumId w:val="0"/>
  </w:num>
  <w:num w:numId="28">
    <w:abstractNumId w:val="2"/>
  </w:num>
  <w:num w:numId="29">
    <w:abstractNumId w:val="15"/>
  </w:num>
  <w:num w:numId="30">
    <w:abstractNumId w:val="30"/>
  </w:num>
  <w:num w:numId="31">
    <w:abstractNumId w:val="35"/>
  </w:num>
  <w:num w:numId="32">
    <w:abstractNumId w:val="22"/>
  </w:num>
  <w:num w:numId="33">
    <w:abstractNumId w:val="7"/>
  </w:num>
  <w:num w:numId="34">
    <w:abstractNumId w:val="18"/>
  </w:num>
  <w:num w:numId="35">
    <w:abstractNumId w:val="23"/>
  </w:num>
  <w:num w:numId="36">
    <w:abstractNumId w:val="13"/>
  </w:num>
  <w:num w:numId="37">
    <w:abstractNumId w:val="19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E6"/>
    <w:rsid w:val="002D6F5E"/>
    <w:rsid w:val="00314A25"/>
    <w:rsid w:val="00596939"/>
    <w:rsid w:val="008D1993"/>
    <w:rsid w:val="00C0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5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F5E"/>
    <w:pPr>
      <w:ind w:left="720"/>
      <w:contextualSpacing/>
    </w:pPr>
  </w:style>
  <w:style w:type="table" w:styleId="a4">
    <w:name w:val="Table Grid"/>
    <w:basedOn w:val="a1"/>
    <w:uiPriority w:val="39"/>
    <w:rsid w:val="002D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1993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F5E"/>
    <w:pPr>
      <w:ind w:left="720"/>
      <w:contextualSpacing/>
    </w:pPr>
  </w:style>
  <w:style w:type="table" w:styleId="a4">
    <w:name w:val="Table Grid"/>
    <w:basedOn w:val="a1"/>
    <w:uiPriority w:val="39"/>
    <w:rsid w:val="002D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199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2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2024-01-27T04:52:00Z</dcterms:created>
  <dcterms:modified xsi:type="dcterms:W3CDTF">2024-01-29T11:10:00Z</dcterms:modified>
</cp:coreProperties>
</file>